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215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019"/>
        <w:gridCol w:w="2430"/>
        <w:gridCol w:w="1009"/>
        <w:gridCol w:w="2552"/>
        <w:gridCol w:w="1009"/>
        <w:gridCol w:w="4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227" w:type="dxa"/>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bCs/>
                <w:i w:val="0"/>
                <w:iCs w:val="0"/>
                <w:caps w:val="0"/>
                <w:color w:val="4B4B4B"/>
                <w:spacing w:val="0"/>
                <w:sz w:val="21"/>
                <w:szCs w:val="21"/>
              </w:rPr>
            </w:pPr>
            <w:r>
              <w:rPr>
                <w:rFonts w:hint="eastAsia" w:ascii="宋体" w:hAnsi="宋体" w:eastAsia="宋体" w:cs="宋体"/>
                <w:b/>
                <w:bCs/>
                <w:i w:val="0"/>
                <w:iCs w:val="0"/>
                <w:caps w:val="0"/>
                <w:color w:val="4B4B4B"/>
                <w:spacing w:val="0"/>
                <w:kern w:val="0"/>
                <w:sz w:val="21"/>
                <w:szCs w:val="21"/>
                <w:lang w:val="en-US" w:eastAsia="zh-CN" w:bidi="ar"/>
              </w:rPr>
              <w:t>信息名称：</w:t>
            </w:r>
          </w:p>
        </w:tc>
        <w:tc>
          <w:tcPr>
            <w:tcW w:w="0" w:type="auto"/>
            <w:gridSpan w:val="5"/>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iCs w:val="0"/>
                <w:caps w:val="0"/>
                <w:color w:val="4B4B4B"/>
                <w:spacing w:val="0"/>
                <w:sz w:val="21"/>
                <w:szCs w:val="21"/>
              </w:rPr>
            </w:pPr>
            <w:r>
              <w:rPr>
                <w:rFonts w:hint="eastAsia" w:ascii="宋体" w:hAnsi="宋体" w:eastAsia="宋体" w:cs="宋体"/>
                <w:i w:val="0"/>
                <w:iCs w:val="0"/>
                <w:caps w:val="0"/>
                <w:color w:val="4B4B4B"/>
                <w:spacing w:val="0"/>
                <w:kern w:val="0"/>
                <w:sz w:val="21"/>
                <w:szCs w:val="21"/>
                <w:lang w:val="en-US" w:eastAsia="zh-CN" w:bidi="ar"/>
              </w:rPr>
              <w:t>教育部等八部门关于印发《职业学校学生实习管理规定》的通知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227" w:type="dxa"/>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bCs/>
                <w:i w:val="0"/>
                <w:iCs w:val="0"/>
                <w:caps w:val="0"/>
                <w:color w:val="4B4B4B"/>
                <w:spacing w:val="0"/>
                <w:sz w:val="21"/>
                <w:szCs w:val="21"/>
              </w:rPr>
            </w:pPr>
            <w:r>
              <w:rPr>
                <w:rFonts w:hint="eastAsia" w:ascii="宋体" w:hAnsi="宋体" w:eastAsia="宋体" w:cs="宋体"/>
                <w:b/>
                <w:bCs/>
                <w:i w:val="0"/>
                <w:iCs w:val="0"/>
                <w:caps w:val="0"/>
                <w:color w:val="4B4B4B"/>
                <w:spacing w:val="0"/>
                <w:kern w:val="0"/>
                <w:sz w:val="21"/>
                <w:szCs w:val="21"/>
                <w:lang w:val="en-US" w:eastAsia="zh-CN" w:bidi="ar"/>
              </w:rPr>
              <w:t>信息索引：</w:t>
            </w:r>
          </w:p>
        </w:tc>
        <w:tc>
          <w:tcPr>
            <w:tcW w:w="1000" w:type="pct"/>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iCs w:val="0"/>
                <w:caps w:val="0"/>
                <w:color w:val="4B4B4B"/>
                <w:spacing w:val="0"/>
                <w:sz w:val="21"/>
                <w:szCs w:val="21"/>
              </w:rPr>
            </w:pPr>
            <w:r>
              <w:rPr>
                <w:rFonts w:hint="eastAsia" w:ascii="宋体" w:hAnsi="宋体" w:eastAsia="宋体" w:cs="宋体"/>
                <w:i w:val="0"/>
                <w:iCs w:val="0"/>
                <w:caps w:val="0"/>
                <w:color w:val="4B4B4B"/>
                <w:spacing w:val="0"/>
                <w:kern w:val="0"/>
                <w:sz w:val="21"/>
                <w:szCs w:val="21"/>
                <w:lang w:val="en-US" w:eastAsia="zh-CN" w:bidi="ar"/>
              </w:rPr>
              <w:t>360A07-06-2022-0001-1</w:t>
            </w:r>
          </w:p>
        </w:tc>
        <w:tc>
          <w:tcPr>
            <w:tcW w:w="1214" w:type="dxa"/>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bCs/>
                <w:i w:val="0"/>
                <w:iCs w:val="0"/>
                <w:caps w:val="0"/>
                <w:color w:val="4B4B4B"/>
                <w:spacing w:val="0"/>
                <w:sz w:val="21"/>
                <w:szCs w:val="21"/>
              </w:rPr>
            </w:pPr>
            <w:r>
              <w:rPr>
                <w:rFonts w:hint="eastAsia" w:ascii="宋体" w:hAnsi="宋体" w:eastAsia="宋体" w:cs="宋体"/>
                <w:b/>
                <w:bCs/>
                <w:i w:val="0"/>
                <w:iCs w:val="0"/>
                <w:caps w:val="0"/>
                <w:color w:val="4B4B4B"/>
                <w:spacing w:val="0"/>
                <w:kern w:val="0"/>
                <w:sz w:val="21"/>
                <w:szCs w:val="21"/>
                <w:lang w:val="en-US" w:eastAsia="zh-CN" w:bidi="ar"/>
              </w:rPr>
              <w:t>生成日期：</w:t>
            </w:r>
          </w:p>
        </w:tc>
        <w:tc>
          <w:tcPr>
            <w:tcW w:w="1050" w:type="pct"/>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iCs w:val="0"/>
                <w:caps w:val="0"/>
                <w:color w:val="4B4B4B"/>
                <w:spacing w:val="0"/>
                <w:sz w:val="21"/>
                <w:szCs w:val="21"/>
              </w:rPr>
            </w:pPr>
            <w:r>
              <w:rPr>
                <w:rFonts w:hint="eastAsia" w:ascii="宋体" w:hAnsi="宋体" w:eastAsia="宋体" w:cs="宋体"/>
                <w:i w:val="0"/>
                <w:iCs w:val="0"/>
                <w:caps w:val="0"/>
                <w:color w:val="4B4B4B"/>
                <w:spacing w:val="0"/>
                <w:kern w:val="0"/>
                <w:sz w:val="21"/>
                <w:szCs w:val="21"/>
                <w:lang w:val="en-US" w:eastAsia="zh-CN" w:bidi="ar"/>
              </w:rPr>
              <w:t>2022-01-17</w:t>
            </w:r>
          </w:p>
        </w:tc>
        <w:tc>
          <w:tcPr>
            <w:tcW w:w="1214" w:type="dxa"/>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bCs/>
                <w:i w:val="0"/>
                <w:iCs w:val="0"/>
                <w:caps w:val="0"/>
                <w:color w:val="4B4B4B"/>
                <w:spacing w:val="0"/>
                <w:sz w:val="21"/>
                <w:szCs w:val="21"/>
              </w:rPr>
            </w:pPr>
            <w:r>
              <w:rPr>
                <w:rFonts w:hint="eastAsia" w:ascii="宋体" w:hAnsi="宋体" w:eastAsia="宋体" w:cs="宋体"/>
                <w:b/>
                <w:bCs/>
                <w:i w:val="0"/>
                <w:iCs w:val="0"/>
                <w:caps w:val="0"/>
                <w:color w:val="4B4B4B"/>
                <w:spacing w:val="0"/>
                <w:kern w:val="0"/>
                <w:sz w:val="21"/>
                <w:szCs w:val="21"/>
                <w:lang w:val="en-US" w:eastAsia="zh-CN" w:bidi="ar"/>
              </w:rPr>
              <w:t>发文机构：</w:t>
            </w:r>
          </w:p>
        </w:tc>
        <w:tc>
          <w:tcPr>
            <w:tcW w:w="1700" w:type="pct"/>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iCs w:val="0"/>
                <w:caps w:val="0"/>
                <w:color w:val="4B4B4B"/>
                <w:spacing w:val="0"/>
                <w:sz w:val="21"/>
                <w:szCs w:val="21"/>
              </w:rPr>
            </w:pPr>
            <w:r>
              <w:rPr>
                <w:rFonts w:hint="eastAsia" w:ascii="宋体" w:hAnsi="宋体" w:eastAsia="宋体" w:cs="宋体"/>
                <w:i w:val="0"/>
                <w:iCs w:val="0"/>
                <w:caps w:val="0"/>
                <w:color w:val="4B4B4B"/>
                <w:spacing w:val="0"/>
                <w:kern w:val="0"/>
                <w:sz w:val="21"/>
                <w:szCs w:val="21"/>
                <w:lang w:val="en-US" w:eastAsia="zh-CN" w:bidi="ar"/>
              </w:rPr>
              <w:t>教育部等八部门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227" w:type="dxa"/>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bCs/>
                <w:i w:val="0"/>
                <w:iCs w:val="0"/>
                <w:caps w:val="0"/>
                <w:color w:val="4B4B4B"/>
                <w:spacing w:val="0"/>
                <w:sz w:val="21"/>
                <w:szCs w:val="21"/>
              </w:rPr>
            </w:pPr>
            <w:r>
              <w:rPr>
                <w:rFonts w:hint="eastAsia" w:ascii="宋体" w:hAnsi="宋体" w:eastAsia="宋体" w:cs="宋体"/>
                <w:b/>
                <w:bCs/>
                <w:i w:val="0"/>
                <w:iCs w:val="0"/>
                <w:caps w:val="0"/>
                <w:color w:val="4B4B4B"/>
                <w:spacing w:val="0"/>
                <w:kern w:val="0"/>
                <w:sz w:val="21"/>
                <w:szCs w:val="21"/>
                <w:lang w:val="en-US" w:eastAsia="zh-CN" w:bidi="ar"/>
              </w:rPr>
              <w:t>发文字号：</w:t>
            </w:r>
          </w:p>
        </w:tc>
        <w:tc>
          <w:tcPr>
            <w:tcW w:w="0" w:type="auto"/>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iCs w:val="0"/>
                <w:caps w:val="0"/>
                <w:color w:val="4B4B4B"/>
                <w:spacing w:val="0"/>
                <w:sz w:val="21"/>
                <w:szCs w:val="21"/>
              </w:rPr>
            </w:pPr>
            <w:r>
              <w:rPr>
                <w:rFonts w:hint="eastAsia" w:ascii="宋体" w:hAnsi="宋体" w:eastAsia="宋体" w:cs="宋体"/>
                <w:i w:val="0"/>
                <w:iCs w:val="0"/>
                <w:caps w:val="0"/>
                <w:color w:val="4B4B4B"/>
                <w:spacing w:val="0"/>
                <w:kern w:val="0"/>
                <w:sz w:val="21"/>
                <w:szCs w:val="21"/>
                <w:lang w:val="en-US" w:eastAsia="zh-CN" w:bidi="ar"/>
              </w:rPr>
              <w:t>教职成〔2021〕4号</w:t>
            </w:r>
          </w:p>
        </w:tc>
        <w:tc>
          <w:tcPr>
            <w:tcW w:w="1214" w:type="dxa"/>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bCs/>
                <w:i w:val="0"/>
                <w:iCs w:val="0"/>
                <w:caps w:val="0"/>
                <w:color w:val="4B4B4B"/>
                <w:spacing w:val="0"/>
                <w:sz w:val="21"/>
                <w:szCs w:val="21"/>
              </w:rPr>
            </w:pPr>
            <w:r>
              <w:rPr>
                <w:rFonts w:hint="eastAsia" w:ascii="宋体" w:hAnsi="宋体" w:eastAsia="宋体" w:cs="宋体"/>
                <w:b/>
                <w:bCs/>
                <w:i w:val="0"/>
                <w:iCs w:val="0"/>
                <w:caps w:val="0"/>
                <w:color w:val="4B4B4B"/>
                <w:spacing w:val="0"/>
                <w:kern w:val="0"/>
                <w:sz w:val="21"/>
                <w:szCs w:val="21"/>
                <w:lang w:val="en-US" w:eastAsia="zh-CN" w:bidi="ar"/>
              </w:rPr>
              <w:t>信息类别：</w:t>
            </w:r>
          </w:p>
        </w:tc>
        <w:tc>
          <w:tcPr>
            <w:tcW w:w="0" w:type="auto"/>
            <w:gridSpan w:val="3"/>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iCs w:val="0"/>
                <w:caps w:val="0"/>
                <w:color w:val="4B4B4B"/>
                <w:spacing w:val="0"/>
                <w:sz w:val="21"/>
                <w:szCs w:val="21"/>
              </w:rPr>
            </w:pPr>
            <w:r>
              <w:rPr>
                <w:rFonts w:hint="eastAsia" w:ascii="宋体" w:hAnsi="宋体" w:eastAsia="宋体" w:cs="宋体"/>
                <w:i w:val="0"/>
                <w:iCs w:val="0"/>
                <w:caps w:val="0"/>
                <w:color w:val="4B4B4B"/>
                <w:spacing w:val="0"/>
                <w:kern w:val="0"/>
                <w:sz w:val="21"/>
                <w:szCs w:val="21"/>
                <w:lang w:val="en-US" w:eastAsia="zh-CN" w:bidi="ar"/>
              </w:rPr>
              <w:t>职业教育与成人教育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227" w:type="dxa"/>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bCs/>
                <w:i w:val="0"/>
                <w:iCs w:val="0"/>
                <w:caps w:val="0"/>
                <w:color w:val="4B4B4B"/>
                <w:spacing w:val="0"/>
                <w:sz w:val="21"/>
                <w:szCs w:val="21"/>
              </w:rPr>
            </w:pPr>
            <w:r>
              <w:rPr>
                <w:rFonts w:hint="eastAsia" w:ascii="宋体" w:hAnsi="宋体" w:eastAsia="宋体" w:cs="宋体"/>
                <w:b/>
                <w:bCs/>
                <w:i w:val="0"/>
                <w:iCs w:val="0"/>
                <w:caps w:val="0"/>
                <w:color w:val="4B4B4B"/>
                <w:spacing w:val="0"/>
                <w:kern w:val="0"/>
                <w:sz w:val="21"/>
                <w:szCs w:val="21"/>
                <w:lang w:val="en-US" w:eastAsia="zh-CN" w:bidi="ar"/>
              </w:rPr>
              <w:t>内容概述：</w:t>
            </w:r>
          </w:p>
        </w:tc>
        <w:tc>
          <w:tcPr>
            <w:tcW w:w="0" w:type="auto"/>
            <w:gridSpan w:val="5"/>
            <w:tcBorders>
              <w:top w:val="nil"/>
              <w:left w:val="nil"/>
              <w:bottom w:val="nil"/>
              <w:right w:val="nil"/>
            </w:tcBorders>
            <w:noWrap w:val="0"/>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iCs w:val="0"/>
                <w:caps w:val="0"/>
                <w:color w:val="4B4B4B"/>
                <w:spacing w:val="0"/>
                <w:sz w:val="21"/>
                <w:szCs w:val="21"/>
              </w:rPr>
            </w:pPr>
            <w:r>
              <w:rPr>
                <w:rFonts w:hint="eastAsia" w:ascii="宋体" w:hAnsi="宋体" w:eastAsia="宋体" w:cs="宋体"/>
                <w:i w:val="0"/>
                <w:iCs w:val="0"/>
                <w:caps w:val="0"/>
                <w:color w:val="4B4B4B"/>
                <w:spacing w:val="0"/>
                <w:kern w:val="0"/>
                <w:sz w:val="21"/>
                <w:szCs w:val="21"/>
                <w:lang w:val="en-US" w:eastAsia="zh-CN" w:bidi="ar"/>
              </w:rPr>
              <w:t>教育部等八部门印发《职业学校学生实习管理规定》。</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bCs/>
          <w:color w:val="4B4B4B"/>
          <w:sz w:val="30"/>
          <w:szCs w:val="30"/>
        </w:rPr>
      </w:pPr>
      <w:r>
        <w:rPr>
          <w:rFonts w:hint="eastAsia" w:ascii="微软雅黑" w:hAnsi="微软雅黑" w:eastAsia="微软雅黑" w:cs="微软雅黑"/>
          <w:b/>
          <w:bCs/>
          <w:i w:val="0"/>
          <w:iCs w:val="0"/>
          <w:caps w:val="0"/>
          <w:color w:val="4B4B4B"/>
          <w:spacing w:val="0"/>
          <w:sz w:val="30"/>
          <w:szCs w:val="30"/>
        </w:rPr>
        <w:t>教育部等八部门关于印发《职业学校学生实习</w:t>
      </w:r>
      <w:r>
        <w:rPr>
          <w:rFonts w:hint="eastAsia" w:ascii="微软雅黑" w:hAnsi="微软雅黑" w:eastAsia="微软雅黑" w:cs="微软雅黑"/>
          <w:b/>
          <w:bCs/>
          <w:i w:val="0"/>
          <w:iCs w:val="0"/>
          <w:caps w:val="0"/>
          <w:color w:val="4B4B4B"/>
          <w:spacing w:val="0"/>
          <w:sz w:val="30"/>
          <w:szCs w:val="30"/>
        </w:rPr>
        <w:br w:type="textWrapping"/>
      </w:r>
      <w:r>
        <w:rPr>
          <w:rFonts w:hint="eastAsia" w:ascii="微软雅黑" w:hAnsi="微软雅黑" w:eastAsia="微软雅黑" w:cs="微软雅黑"/>
          <w:b/>
          <w:bCs/>
          <w:i w:val="0"/>
          <w:iCs w:val="0"/>
          <w:caps w:val="0"/>
          <w:color w:val="4B4B4B"/>
          <w:spacing w:val="0"/>
          <w:sz w:val="30"/>
          <w:szCs w:val="30"/>
        </w:rPr>
        <w:t>管理规定》的通知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教职成〔2021〕4号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各省、自治区、直辖市教育厅（教委）、工业和信息化厅（经济信息化委）、财政厅（局）、人力资源社会保障厅（局）、应急管理厅（局）、国资委、市场监管局（厅、委），新疆生产建设兵团教育局、工信委、财政局、人力资源社会保障局、应急管理局、国资委、市场监管局，各银保监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为深入贯彻全国职业教育大会精神，落实中共中央办公厅、国务院办公厅《关于推动现代职业教育高质量发展的意见》，进一步做好职业学校学生实习工作，教育部、工业和信息化部、财政部、人力资源社会保障部、应急管理部、国资委、市场监管总局和中国银保监会对《职业学校学生实习管理规定》（以下简称《规定》）进行了修订。现予印发，并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w:t>
      </w:r>
      <w:r>
        <w:rPr>
          <w:rStyle w:val="6"/>
          <w:rFonts w:hint="eastAsia" w:ascii="微软雅黑" w:hAnsi="微软雅黑" w:eastAsia="微软雅黑" w:cs="微软雅黑"/>
          <w:i w:val="0"/>
          <w:iCs w:val="0"/>
          <w:caps w:val="0"/>
          <w:color w:val="4B4B4B"/>
          <w:spacing w:val="0"/>
          <w:sz w:val="24"/>
          <w:szCs w:val="24"/>
        </w:rPr>
        <w:t>一、准确把握实习本质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各地各职业学校要进一步提高站位，准确把握实习的本质，坚守实习育人初心，切实把实习作为必不可少的实践性教育教学环节，持续加强规范管理、长效治理。要深刻认识数字经济驱动下职业场景变化、岗位需求升级的新形势，会同有关部门进一步健全企事业单位接纳学生实习的激励机制，促进扩大和优化与专业对口的实习岗位供给。要主动适应前沿技术与实习深度融合新趋势，将实习纳入教育信息化建设覆盖范围，统筹建好、用好校内外实践教学资源。要具体分析职业教育贯通培养、培养模式改革等对实习安排提出的新要求，进一步加强统筹、合理分段安排，处理好实习与职业技能培训考核、升学备考等方面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w:t>
      </w:r>
      <w:r>
        <w:rPr>
          <w:rStyle w:val="6"/>
          <w:rFonts w:hint="eastAsia" w:ascii="微软雅黑" w:hAnsi="微软雅黑" w:eastAsia="微软雅黑" w:cs="微软雅黑"/>
          <w:i w:val="0"/>
          <w:iCs w:val="0"/>
          <w:caps w:val="0"/>
          <w:color w:val="4B4B4B"/>
          <w:spacing w:val="0"/>
          <w:sz w:val="24"/>
          <w:szCs w:val="24"/>
        </w:rPr>
        <w:t>二、 严守实习基本规范和底线红线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规定》提出了实习组织、实习管理、实习考核、安全职责和保障措施等全链条、全过程的基本要求，针对实习关键节点明确了行为准则，提出1个“严禁”、27个“不得”，为实习管理划出了底线和红线，对实习各方提出了刚性约束。各地要通过专家解读、专题教育、挂图海报、公益广告、新媒体等多种形式，以师生喜闻乐见的方式，帮助职业学校师生、家长和实习单位全面熟悉、准确把握实习管理的内容和要求，提高学生自我保护意识，及时总结推广典型经验和案例，形成良好的群体效应、社会效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w:t>
      </w:r>
      <w:r>
        <w:rPr>
          <w:rStyle w:val="6"/>
          <w:rFonts w:hint="eastAsia" w:ascii="微软雅黑" w:hAnsi="微软雅黑" w:eastAsia="微软雅黑" w:cs="微软雅黑"/>
          <w:i w:val="0"/>
          <w:iCs w:val="0"/>
          <w:caps w:val="0"/>
          <w:color w:val="4B4B4B"/>
          <w:spacing w:val="0"/>
          <w:sz w:val="24"/>
          <w:szCs w:val="24"/>
        </w:rPr>
        <w:t>三、落实实习管理协同机制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各地教育行政部门要主动加强与有关部门的沟通协调，共同制定《规定》落实工作方案，细化对实习单位接收学生实习的激励政策，明确部门联合监管的方式和分工。有关部门要指导职业学校、实习单位、学生以《职业学校学生岗位实习三方协议（示范文本）》为基础，签订三方协议；实习三方协议（示范文本）内容不得删减，如有其他需要可在三方协议中以附件形式添加有关条款。省级教育行政部门要统筹整合现有资源，在2022年3月底前启动建设省级实习管理信息系统并逐步完善，主动会同有关部门，实现实习登记备案全覆盖、过程动态监管全覆盖。要完善职业教育考核指标体系，把实习工作列为学校领导干部和学校办学质量考核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w:t>
      </w:r>
      <w:r>
        <w:rPr>
          <w:rStyle w:val="6"/>
          <w:rFonts w:hint="eastAsia" w:ascii="微软雅黑" w:hAnsi="微软雅黑" w:eastAsia="微软雅黑" w:cs="微软雅黑"/>
          <w:i w:val="0"/>
          <w:iCs w:val="0"/>
          <w:caps w:val="0"/>
          <w:color w:val="4B4B4B"/>
          <w:spacing w:val="0"/>
          <w:sz w:val="24"/>
          <w:szCs w:val="24"/>
        </w:rPr>
        <w:t>四、强化实习监管和问责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各地有关部门要按照“管行业必须管安全、管业务必须管安全、管生产经营必须管安全”和“谁主管谁负责”的原则，定期组织自查、加强日常监管，特别是加强实习安全管理，健全突发事件应急处置制度机制。省级教育行政部门要联合有关部门，针对突出问题、关键时段、重点领域，结合教育督导、治安管理、安全生产检查、职业卫生监督检查、劳动保障监察、工商执法等，采取“双随机一公开”方式开展专项排查、重点抽查。地方各级教育行政部门和职业学校要于2022年1月底前公布监督咨询电话，畅通政策咨询与情况反映渠道，汇总各方情况反映和问题线索并建立专门台账，整改一个销号一个。有关部门要对违反本规定的职业学校、实习单位及相关责任人，依法依规严肃处理、联合惩戒。教育部将会同有关部门开展实地抽查调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工业和信息化部门要结合推进制造业高质量发展，通过产业政策、项目引导、服务型制造示范企业建设、培育“专精特新”中小企业等工作，鼓励先进制造业企业、省级“专精特新”中小企业、产教融合型企业以及有条件的中小企业等积极参与校企合作，提供实习岗位。地方财政部门要落实职业学校生均拨款制度，统筹考虑学生实习安全保障相关支出和学费水平，科学合理确定生均拨款标准；企业因接收学生实习所实际发生的与取得收入有关的合理支出，依法在计算应纳税所得额时扣除。人力资源社会保障部门要积极探索职业学校实习生参加工伤保险办法，银保监部门要依法监管职业学校学生实习责任保险和人身意外伤害保险。应急管理部门要督促指导矿山、危险化学品、工贸等有关行业领域实习单位落实安全生产主体责任，将实习安全责任履行情况作为安全生产检查的重要内容。各地国资部门要指导国有企业特别是大型企业将实习纳入企业人力资源管理重要内容，积极设立实习岗位并对外发布，对行为规范、成效显著的企业，按照有关规定予以相应政策支持。市场监管部门要将治理实习违规行为纳入整顿和规范市场经济秩序有关工作体系，将有实习违规行为的企业信息纳入社会信用体系，并按规定进行失信联合惩戒。各地组织开展实习工作情况将作为遴选职业教育改革成效明显的省（区、市）考虑内容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请各地教育行政部门会同有关部门共同制订《规定》实施工作方案，于2022年2月20日前报送教育部（职业教育与成人教育司），其他有关重要工作情况请及时报告。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联系人及联系方式：吴智兵、董振华，010-66096266，jxjc@moe.edu.cn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教育部 工业和信息化部 财政部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人力资源社会保障部 应急管理部 国务院国资委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市场监管总局 中国银保监会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2021年12月31日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附件：1.</w:t>
      </w:r>
      <w:r>
        <w:rPr>
          <w:rFonts w:hint="eastAsia" w:ascii="微软雅黑" w:hAnsi="微软雅黑" w:eastAsia="微软雅黑" w:cs="微软雅黑"/>
          <w:i w:val="0"/>
          <w:iCs w:val="0"/>
          <w:caps w:val="0"/>
          <w:color w:val="0000FF"/>
          <w:spacing w:val="0"/>
          <w:sz w:val="24"/>
          <w:szCs w:val="24"/>
          <w:u w:val="none"/>
        </w:rPr>
        <w:fldChar w:fldCharType="begin"/>
      </w:r>
      <w:r>
        <w:rPr>
          <w:rFonts w:hint="eastAsia" w:ascii="微软雅黑" w:hAnsi="微软雅黑" w:eastAsia="微软雅黑" w:cs="微软雅黑"/>
          <w:i w:val="0"/>
          <w:iCs w:val="0"/>
          <w:caps w:val="0"/>
          <w:color w:val="0000FF"/>
          <w:spacing w:val="0"/>
          <w:sz w:val="24"/>
          <w:szCs w:val="24"/>
          <w:u w:val="none"/>
        </w:rPr>
        <w:instrText xml:space="preserve"> HYPERLINK "http://www.moe.gov.cn/srcsite/A07/moe_737/s3876_qt/202201/W020220121333592539041.docx" \t "http://www.moe.gov.cn/srcsite/A07/moe_737/s3876_qt/202201/_blank" </w:instrText>
      </w:r>
      <w:r>
        <w:rPr>
          <w:rFonts w:hint="eastAsia" w:ascii="微软雅黑" w:hAnsi="微软雅黑" w:eastAsia="微软雅黑" w:cs="微软雅黑"/>
          <w:i w:val="0"/>
          <w:iCs w:val="0"/>
          <w:caps w:val="0"/>
          <w:color w:val="0000FF"/>
          <w:spacing w:val="0"/>
          <w:sz w:val="24"/>
          <w:szCs w:val="24"/>
          <w:u w:val="none"/>
        </w:rPr>
        <w:fldChar w:fldCharType="separate"/>
      </w:r>
      <w:r>
        <w:rPr>
          <w:rStyle w:val="7"/>
          <w:rFonts w:hint="eastAsia" w:ascii="微软雅黑" w:hAnsi="微软雅黑" w:eastAsia="微软雅黑" w:cs="微软雅黑"/>
          <w:i w:val="0"/>
          <w:iCs w:val="0"/>
          <w:caps w:val="0"/>
          <w:color w:val="0000FF"/>
          <w:spacing w:val="0"/>
          <w:sz w:val="24"/>
          <w:szCs w:val="24"/>
          <w:u w:val="none"/>
        </w:rPr>
        <w:t>《职业学校学生实习管理规定》</w:t>
      </w:r>
      <w:r>
        <w:rPr>
          <w:rFonts w:hint="eastAsia" w:ascii="微软雅黑" w:hAnsi="微软雅黑" w:eastAsia="微软雅黑" w:cs="微软雅黑"/>
          <w:i w:val="0"/>
          <w:iCs w:val="0"/>
          <w:caps w:val="0"/>
          <w:color w:val="0000FF"/>
          <w:spacing w:val="0"/>
          <w:sz w:val="24"/>
          <w:szCs w:val="24"/>
          <w:u w:val="no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rPr>
        <w:t>　　　　　2.</w:t>
      </w:r>
      <w:r>
        <w:rPr>
          <w:rFonts w:hint="eastAsia" w:ascii="微软雅黑" w:hAnsi="微软雅黑" w:eastAsia="微软雅黑" w:cs="微软雅黑"/>
          <w:i w:val="0"/>
          <w:iCs w:val="0"/>
          <w:caps w:val="0"/>
          <w:color w:val="0000FF"/>
          <w:spacing w:val="0"/>
          <w:sz w:val="24"/>
          <w:szCs w:val="24"/>
          <w:u w:val="none"/>
        </w:rPr>
        <w:fldChar w:fldCharType="begin"/>
      </w:r>
      <w:r>
        <w:rPr>
          <w:rFonts w:hint="eastAsia" w:ascii="微软雅黑" w:hAnsi="微软雅黑" w:eastAsia="微软雅黑" w:cs="微软雅黑"/>
          <w:i w:val="0"/>
          <w:iCs w:val="0"/>
          <w:caps w:val="0"/>
          <w:color w:val="0000FF"/>
          <w:spacing w:val="0"/>
          <w:sz w:val="24"/>
          <w:szCs w:val="24"/>
          <w:u w:val="none"/>
        </w:rPr>
        <w:instrText xml:space="preserve"> HYPERLINK "http://www.moe.gov.cn/srcsite/A07/moe_737/s3876_qt/202201/W020220121333592547806.docx" \t "http://www.moe.gov.cn/srcsite/A07/moe_737/s3876_qt/202201/_blank" </w:instrText>
      </w:r>
      <w:r>
        <w:rPr>
          <w:rFonts w:hint="eastAsia" w:ascii="微软雅黑" w:hAnsi="微软雅黑" w:eastAsia="微软雅黑" w:cs="微软雅黑"/>
          <w:i w:val="0"/>
          <w:iCs w:val="0"/>
          <w:caps w:val="0"/>
          <w:color w:val="0000FF"/>
          <w:spacing w:val="0"/>
          <w:sz w:val="24"/>
          <w:szCs w:val="24"/>
          <w:u w:val="none"/>
        </w:rPr>
        <w:fldChar w:fldCharType="separate"/>
      </w:r>
      <w:r>
        <w:rPr>
          <w:rStyle w:val="7"/>
          <w:rFonts w:hint="eastAsia" w:ascii="微软雅黑" w:hAnsi="微软雅黑" w:eastAsia="微软雅黑" w:cs="微软雅黑"/>
          <w:i w:val="0"/>
          <w:iCs w:val="0"/>
          <w:caps w:val="0"/>
          <w:color w:val="0000FF"/>
          <w:spacing w:val="0"/>
          <w:sz w:val="24"/>
          <w:szCs w:val="24"/>
          <w:u w:val="none"/>
        </w:rPr>
        <w:t>《职业学校学生岗位实习三方协议（示范文本）》</w:t>
      </w:r>
      <w:r>
        <w:rPr>
          <w:rFonts w:hint="eastAsia" w:ascii="微软雅黑" w:hAnsi="微软雅黑" w:eastAsia="微软雅黑" w:cs="微软雅黑"/>
          <w:i w:val="0"/>
          <w:iCs w:val="0"/>
          <w:caps w:val="0"/>
          <w:color w:val="0000FF"/>
          <w:spacing w:val="0"/>
          <w:sz w:val="24"/>
          <w:szCs w:val="24"/>
          <w:u w:val="none"/>
        </w:rPr>
        <w:fldChar w:fldCharType="end"/>
      </w:r>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DD1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2022-03-01T06:40:41Z</dcterms:created>
  <dc:creator>jwcguo</dc:creator>
  <cp:lastModifiedBy>guo</cp:lastModifiedBy>
  <dcterms:modified xsi:type="dcterms:W3CDTF">2022-03-01T06:40:54Z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80F7A09604394A6FAF9ABBBED8AFB699</vt:lpwstr>
  </property>
</Properties>
</file>